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15C" w:rsidRDefault="00CE115C" w:rsidP="00CE115C">
      <w:pPr>
        <w:pStyle w:val="3"/>
        <w:tabs>
          <w:tab w:val="left" w:pos="1481"/>
        </w:tabs>
        <w:spacing w:before="73"/>
        <w:ind w:left="1480"/>
        <w:rPr>
          <w:rFonts w:ascii="Arial" w:hAnsi="Arial"/>
        </w:rPr>
      </w:pPr>
      <w:bookmarkStart w:id="0" w:name="_TOC_250010"/>
      <w:r>
        <w:rPr>
          <w:rFonts w:ascii="Arial" w:hAnsi="Arial"/>
        </w:rPr>
        <w:t>Метод</w:t>
      </w:r>
      <w:r>
        <w:rPr>
          <w:rFonts w:ascii="Arial" w:hAnsi="Arial"/>
          <w:spacing w:val="-8"/>
        </w:rPr>
        <w:t xml:space="preserve"> </w:t>
      </w:r>
      <w:r>
        <w:rPr>
          <w:rFonts w:ascii="Arial" w:hAnsi="Arial"/>
        </w:rPr>
        <w:t>отраслевых</w:t>
      </w:r>
      <w:r>
        <w:rPr>
          <w:rFonts w:ascii="Arial" w:hAnsi="Arial"/>
          <w:spacing w:val="-5"/>
        </w:rPr>
        <w:t xml:space="preserve"> </w:t>
      </w:r>
      <w:bookmarkEnd w:id="0"/>
      <w:r>
        <w:rPr>
          <w:rFonts w:ascii="Arial" w:hAnsi="Arial"/>
        </w:rPr>
        <w:t>коэффициентов</w:t>
      </w:r>
    </w:p>
    <w:p w:rsidR="00CE115C" w:rsidRDefault="00CE115C" w:rsidP="00CE115C">
      <w:pPr>
        <w:pStyle w:val="a3"/>
        <w:spacing w:before="7"/>
        <w:ind w:left="0"/>
        <w:rPr>
          <w:rFonts w:ascii="Arial"/>
          <w:b/>
          <w:sz w:val="21"/>
        </w:rPr>
      </w:pPr>
    </w:p>
    <w:p w:rsidR="00CE115C" w:rsidRDefault="00CE115C" w:rsidP="00CE115C">
      <w:pPr>
        <w:pStyle w:val="a3"/>
        <w:spacing w:before="1" w:line="249" w:lineRule="auto"/>
        <w:ind w:right="550" w:firstLine="424"/>
        <w:jc w:val="both"/>
      </w:pPr>
      <w:r>
        <w:t>Суть метода отраслевых коэффициентов заключается в том, что на</w:t>
      </w:r>
      <w:r>
        <w:rPr>
          <w:spacing w:val="1"/>
        </w:rPr>
        <w:t xml:space="preserve"> </w:t>
      </w:r>
      <w:r>
        <w:t>основе анализа практики продаж бизн</w:t>
      </w:r>
      <w:r>
        <w:t>еса в той или иной отрасли выво</w:t>
      </w:r>
      <w:r>
        <w:t>дится определенная зависимость ме</w:t>
      </w:r>
      <w:r>
        <w:t>жду ценой продажи и каким-то по</w:t>
      </w:r>
      <w:r>
        <w:t>казателем. Этот метод в основном используется для оценки ма</w:t>
      </w:r>
      <w:r>
        <w:t>лых ком</w:t>
      </w:r>
      <w:r>
        <w:t>паний и</w:t>
      </w:r>
      <w:r>
        <w:rPr>
          <w:spacing w:val="-1"/>
        </w:rPr>
        <w:t xml:space="preserve"> </w:t>
      </w:r>
      <w:r>
        <w:t>носит</w:t>
      </w:r>
      <w:r>
        <w:rPr>
          <w:spacing w:val="-2"/>
        </w:rPr>
        <w:t xml:space="preserve"> </w:t>
      </w:r>
      <w:r>
        <w:t>вспомогательный</w:t>
      </w:r>
      <w:r>
        <w:rPr>
          <w:spacing w:val="2"/>
        </w:rPr>
        <w:t xml:space="preserve"> </w:t>
      </w:r>
      <w:r>
        <w:t>характер.</w:t>
      </w:r>
    </w:p>
    <w:p w:rsidR="00CE115C" w:rsidRDefault="00CE115C" w:rsidP="00CE115C">
      <w:pPr>
        <w:pStyle w:val="a3"/>
        <w:spacing w:before="4" w:line="249" w:lineRule="auto"/>
        <w:ind w:right="550" w:firstLine="424"/>
        <w:jc w:val="both"/>
      </w:pPr>
      <w:r>
        <w:t>В практике западных оценщико</w:t>
      </w:r>
      <w:r>
        <w:t>в как результат обобщения много</w:t>
      </w:r>
      <w:r>
        <w:t>летнего опыта продаж были разра</w:t>
      </w:r>
      <w:r>
        <w:t>ботаны простые формулы определе</w:t>
      </w:r>
      <w:r>
        <w:t>ния стоимости оцениваемой компании</w:t>
      </w:r>
      <w:r>
        <w:t xml:space="preserve"> в зависимости от сферы деятель</w:t>
      </w:r>
      <w:r>
        <w:t>ности.</w:t>
      </w:r>
      <w:r>
        <w:rPr>
          <w:spacing w:val="-1"/>
        </w:rPr>
        <w:t xml:space="preserve"> </w:t>
      </w:r>
      <w:r>
        <w:t>Так: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before="8" w:line="232" w:lineRule="auto"/>
        <w:ind w:left="137" w:right="550" w:firstLine="384"/>
        <w:rPr>
          <w:sz w:val="20"/>
        </w:rPr>
      </w:pPr>
      <w:r>
        <w:rPr>
          <w:sz w:val="20"/>
        </w:rPr>
        <w:t>фирмы,</w:t>
      </w:r>
      <w:r>
        <w:rPr>
          <w:spacing w:val="23"/>
          <w:sz w:val="20"/>
        </w:rPr>
        <w:t xml:space="preserve"> </w:t>
      </w:r>
      <w:r>
        <w:rPr>
          <w:sz w:val="20"/>
        </w:rPr>
        <w:t>ведущие</w:t>
      </w:r>
      <w:r>
        <w:rPr>
          <w:spacing w:val="22"/>
          <w:sz w:val="20"/>
        </w:rPr>
        <w:t xml:space="preserve"> </w:t>
      </w:r>
      <w:r>
        <w:rPr>
          <w:sz w:val="20"/>
        </w:rPr>
        <w:t>бухгалтерский</w:t>
      </w:r>
      <w:r>
        <w:rPr>
          <w:spacing w:val="23"/>
          <w:sz w:val="20"/>
        </w:rPr>
        <w:t xml:space="preserve"> </w:t>
      </w:r>
      <w:r>
        <w:rPr>
          <w:sz w:val="20"/>
        </w:rPr>
        <w:t>учет,</w:t>
      </w:r>
      <w:r>
        <w:rPr>
          <w:spacing w:val="22"/>
          <w:sz w:val="20"/>
        </w:rPr>
        <w:t xml:space="preserve"> </w:t>
      </w:r>
      <w:r>
        <w:rPr>
          <w:sz w:val="20"/>
        </w:rPr>
        <w:t>продаются</w:t>
      </w:r>
      <w:r>
        <w:rPr>
          <w:spacing w:val="21"/>
          <w:sz w:val="20"/>
        </w:rPr>
        <w:t xml:space="preserve"> </w:t>
      </w:r>
      <w:r>
        <w:rPr>
          <w:sz w:val="20"/>
        </w:rPr>
        <w:t>за</w:t>
      </w:r>
      <w:r>
        <w:rPr>
          <w:spacing w:val="22"/>
          <w:sz w:val="20"/>
        </w:rPr>
        <w:t xml:space="preserve"> </w:t>
      </w:r>
      <w:r>
        <w:rPr>
          <w:sz w:val="20"/>
        </w:rPr>
        <w:t>50%</w:t>
      </w:r>
      <w:r>
        <w:rPr>
          <w:spacing w:val="21"/>
          <w:sz w:val="20"/>
        </w:rPr>
        <w:t xml:space="preserve"> </w:t>
      </w:r>
      <w:r>
        <w:rPr>
          <w:sz w:val="20"/>
        </w:rPr>
        <w:t>от</w:t>
      </w:r>
      <w:r>
        <w:rPr>
          <w:spacing w:val="21"/>
          <w:sz w:val="20"/>
        </w:rPr>
        <w:t xml:space="preserve"> </w:t>
      </w:r>
      <w:r>
        <w:rPr>
          <w:sz w:val="20"/>
        </w:rPr>
        <w:t>го</w:t>
      </w:r>
      <w:r>
        <w:rPr>
          <w:sz w:val="20"/>
        </w:rPr>
        <w:t>довой</w:t>
      </w:r>
      <w:r>
        <w:rPr>
          <w:spacing w:val="-2"/>
          <w:sz w:val="20"/>
        </w:rPr>
        <w:t xml:space="preserve"> </w:t>
      </w:r>
      <w:r>
        <w:rPr>
          <w:sz w:val="20"/>
        </w:rPr>
        <w:t>выручки;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before="13" w:line="243" w:lineRule="exact"/>
        <w:ind w:left="809" w:hanging="289"/>
        <w:rPr>
          <w:sz w:val="20"/>
        </w:rPr>
      </w:pPr>
      <w:r>
        <w:rPr>
          <w:sz w:val="20"/>
        </w:rPr>
        <w:t>рекламные</w:t>
      </w:r>
      <w:r>
        <w:rPr>
          <w:spacing w:val="-2"/>
          <w:sz w:val="20"/>
        </w:rPr>
        <w:t xml:space="preserve"> </w:t>
      </w:r>
      <w:r>
        <w:rPr>
          <w:sz w:val="20"/>
        </w:rPr>
        <w:t>агентства</w:t>
      </w:r>
      <w:r>
        <w:rPr>
          <w:spacing w:val="-3"/>
          <w:sz w:val="20"/>
        </w:rPr>
        <w:t xml:space="preserve"> </w:t>
      </w:r>
      <w:r>
        <w:rPr>
          <w:sz w:val="20"/>
        </w:rPr>
        <w:t>продаются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2"/>
          <w:sz w:val="20"/>
        </w:rPr>
        <w:t xml:space="preserve"> </w:t>
      </w:r>
      <w:r>
        <w:rPr>
          <w:sz w:val="20"/>
        </w:rPr>
        <w:t>70%</w:t>
      </w:r>
      <w:r>
        <w:rPr>
          <w:spacing w:val="-3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годовой</w:t>
      </w:r>
      <w:r>
        <w:rPr>
          <w:spacing w:val="-2"/>
          <w:sz w:val="20"/>
        </w:rPr>
        <w:t xml:space="preserve"> </w:t>
      </w:r>
      <w:r>
        <w:rPr>
          <w:sz w:val="20"/>
        </w:rPr>
        <w:t>выручки;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89"/>
        <w:rPr>
          <w:sz w:val="20"/>
        </w:rPr>
      </w:pPr>
      <w:r>
        <w:rPr>
          <w:sz w:val="20"/>
        </w:rPr>
        <w:t>рестораны</w:t>
      </w:r>
      <w:r>
        <w:rPr>
          <w:spacing w:val="-2"/>
          <w:sz w:val="20"/>
        </w:rPr>
        <w:t xml:space="preserve"> </w:t>
      </w:r>
      <w:r>
        <w:rPr>
          <w:sz w:val="20"/>
        </w:rPr>
        <w:t>продаются</w:t>
      </w:r>
      <w:r>
        <w:rPr>
          <w:spacing w:val="-3"/>
          <w:sz w:val="20"/>
        </w:rPr>
        <w:t xml:space="preserve"> </w:t>
      </w:r>
      <w:r>
        <w:rPr>
          <w:sz w:val="20"/>
        </w:rPr>
        <w:t>за</w:t>
      </w:r>
      <w:r>
        <w:rPr>
          <w:spacing w:val="-1"/>
          <w:sz w:val="20"/>
        </w:rPr>
        <w:t xml:space="preserve"> </w:t>
      </w:r>
      <w:r>
        <w:rPr>
          <w:sz w:val="20"/>
        </w:rPr>
        <w:t>25-50%</w:t>
      </w:r>
      <w:r>
        <w:rPr>
          <w:spacing w:val="-3"/>
          <w:sz w:val="20"/>
        </w:rPr>
        <w:t xml:space="preserve"> </w:t>
      </w:r>
      <w:r>
        <w:rPr>
          <w:sz w:val="20"/>
        </w:rPr>
        <w:t>годовой</w:t>
      </w:r>
      <w:r>
        <w:rPr>
          <w:spacing w:val="-3"/>
          <w:sz w:val="20"/>
        </w:rPr>
        <w:t xml:space="preserve"> </w:t>
      </w:r>
      <w:r>
        <w:rPr>
          <w:sz w:val="20"/>
        </w:rPr>
        <w:t>выручки;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89"/>
        <w:rPr>
          <w:sz w:val="20"/>
        </w:rPr>
      </w:pPr>
      <w:r>
        <w:rPr>
          <w:sz w:val="20"/>
        </w:rPr>
        <w:t>туристические</w:t>
      </w:r>
      <w:r>
        <w:rPr>
          <w:spacing w:val="-4"/>
          <w:sz w:val="20"/>
        </w:rPr>
        <w:t xml:space="preserve"> </w:t>
      </w:r>
      <w:r>
        <w:rPr>
          <w:sz w:val="20"/>
        </w:rPr>
        <w:t>агентства</w:t>
      </w:r>
      <w:r>
        <w:rPr>
          <w:spacing w:val="-1"/>
          <w:sz w:val="20"/>
        </w:rPr>
        <w:t xml:space="preserve"> </w:t>
      </w:r>
      <w:r>
        <w:rPr>
          <w:sz w:val="20"/>
        </w:rPr>
        <w:t>продаются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3"/>
          <w:sz w:val="20"/>
        </w:rPr>
        <w:t xml:space="preserve"> </w:t>
      </w:r>
      <w:r>
        <w:rPr>
          <w:sz w:val="20"/>
        </w:rPr>
        <w:t>4-</w:t>
      </w:r>
      <w:r>
        <w:rPr>
          <w:spacing w:val="-5"/>
          <w:sz w:val="20"/>
        </w:rPr>
        <w:t xml:space="preserve"> </w:t>
      </w:r>
      <w:r>
        <w:rPr>
          <w:sz w:val="20"/>
        </w:rPr>
        <w:t>10%</w:t>
      </w:r>
      <w:r>
        <w:rPr>
          <w:spacing w:val="-4"/>
          <w:sz w:val="20"/>
        </w:rPr>
        <w:t xml:space="preserve"> </w:t>
      </w:r>
      <w:r>
        <w:rPr>
          <w:sz w:val="20"/>
        </w:rPr>
        <w:t>годовой</w:t>
      </w:r>
      <w:r>
        <w:rPr>
          <w:spacing w:val="-4"/>
          <w:sz w:val="20"/>
        </w:rPr>
        <w:t xml:space="preserve"> </w:t>
      </w:r>
      <w:r>
        <w:rPr>
          <w:sz w:val="20"/>
        </w:rPr>
        <w:t>выручки;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line="240" w:lineRule="exact"/>
        <w:ind w:left="809" w:hanging="289"/>
        <w:rPr>
          <w:sz w:val="20"/>
        </w:rPr>
      </w:pPr>
      <w:r>
        <w:rPr>
          <w:spacing w:val="-2"/>
          <w:sz w:val="20"/>
        </w:rPr>
        <w:t>заправочные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станции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продаются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за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120-200%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месячной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выручки;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before="1" w:line="232" w:lineRule="auto"/>
        <w:ind w:left="137" w:right="553" w:firstLine="384"/>
        <w:jc w:val="both"/>
        <w:rPr>
          <w:sz w:val="20"/>
        </w:rPr>
      </w:pPr>
      <w:r>
        <w:rPr>
          <w:sz w:val="20"/>
        </w:rPr>
        <w:t>магазины розничной торговли продаются за 75-150% от суммы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получаемой</w:t>
      </w:r>
      <w:r>
        <w:rPr>
          <w:spacing w:val="-2"/>
          <w:sz w:val="20"/>
        </w:rPr>
        <w:t xml:space="preserve"> </w:t>
      </w:r>
      <w:r>
        <w:rPr>
          <w:sz w:val="20"/>
        </w:rPr>
        <w:t>за год</w:t>
      </w:r>
      <w:r>
        <w:rPr>
          <w:spacing w:val="1"/>
          <w:sz w:val="20"/>
        </w:rPr>
        <w:t xml:space="preserve"> </w:t>
      </w:r>
      <w:r>
        <w:rPr>
          <w:sz w:val="20"/>
        </w:rPr>
        <w:t>чистой</w:t>
      </w:r>
      <w:r>
        <w:rPr>
          <w:spacing w:val="1"/>
          <w:sz w:val="20"/>
        </w:rPr>
        <w:t xml:space="preserve"> </w:t>
      </w:r>
      <w:r>
        <w:rPr>
          <w:sz w:val="20"/>
        </w:rPr>
        <w:t>прибыли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запасов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складе;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before="12" w:line="242" w:lineRule="auto"/>
        <w:ind w:left="137" w:right="550" w:firstLine="384"/>
        <w:jc w:val="both"/>
        <w:rPr>
          <w:sz w:val="20"/>
        </w:rPr>
      </w:pPr>
      <w:r>
        <w:rPr>
          <w:sz w:val="20"/>
        </w:rPr>
        <w:t>машиностроительные предприятия продаются за 150-250% от</w:t>
      </w:r>
      <w:r>
        <w:rPr>
          <w:spacing w:val="1"/>
          <w:sz w:val="20"/>
        </w:rPr>
        <w:t xml:space="preserve"> </w:t>
      </w:r>
      <w:r>
        <w:rPr>
          <w:sz w:val="20"/>
        </w:rPr>
        <w:t>суммы получаемой за год чистой прибыли со стоимостью оборудования</w:t>
      </w:r>
      <w:r>
        <w:rPr>
          <w:spacing w:val="-47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запасов</w:t>
      </w:r>
      <w:r>
        <w:rPr>
          <w:spacing w:val="-1"/>
          <w:sz w:val="20"/>
        </w:rPr>
        <w:t xml:space="preserve"> </w:t>
      </w:r>
      <w:r>
        <w:rPr>
          <w:sz w:val="20"/>
        </w:rPr>
        <w:t>на складе;</w:t>
      </w:r>
    </w:p>
    <w:p w:rsidR="00CE115C" w:rsidRDefault="00CE115C" w:rsidP="00CE115C">
      <w:pPr>
        <w:pStyle w:val="a5"/>
        <w:numPr>
          <w:ilvl w:val="0"/>
          <w:numId w:val="1"/>
        </w:numPr>
        <w:tabs>
          <w:tab w:val="left" w:pos="810"/>
        </w:tabs>
        <w:spacing w:before="7"/>
        <w:ind w:left="809" w:hanging="289"/>
        <w:jc w:val="both"/>
        <w:rPr>
          <w:sz w:val="20"/>
        </w:rPr>
      </w:pP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т.п.</w:t>
      </w:r>
    </w:p>
    <w:p w:rsidR="00CE115C" w:rsidRDefault="00CE115C" w:rsidP="00CE115C">
      <w:pPr>
        <w:pStyle w:val="4"/>
        <w:spacing w:before="113"/>
        <w:ind w:right="439"/>
      </w:pPr>
      <w:r>
        <w:t>Пример</w:t>
      </w:r>
      <w:r>
        <w:rPr>
          <w:spacing w:val="-3"/>
        </w:rPr>
        <w:t xml:space="preserve"> </w:t>
      </w:r>
    </w:p>
    <w:p w:rsidR="00CE115C" w:rsidRDefault="00CE115C" w:rsidP="00CE115C">
      <w:pPr>
        <w:pStyle w:val="a3"/>
        <w:spacing w:before="130" w:line="249" w:lineRule="auto"/>
        <w:ind w:right="547" w:firstLine="424"/>
      </w:pPr>
      <w:r>
        <w:t>Требуется</w:t>
      </w:r>
      <w:r>
        <w:rPr>
          <w:spacing w:val="9"/>
        </w:rPr>
        <w:t xml:space="preserve"> </w:t>
      </w:r>
      <w:r>
        <w:t>оценить</w:t>
      </w:r>
      <w:r>
        <w:rPr>
          <w:spacing w:val="10"/>
        </w:rPr>
        <w:t xml:space="preserve"> </w:t>
      </w:r>
      <w:r>
        <w:t>стоимость</w:t>
      </w:r>
      <w:r>
        <w:rPr>
          <w:spacing w:val="10"/>
        </w:rPr>
        <w:t xml:space="preserve"> </w:t>
      </w:r>
      <w:r>
        <w:t>аудиторской</w:t>
      </w:r>
      <w:r>
        <w:rPr>
          <w:spacing w:val="10"/>
        </w:rPr>
        <w:t xml:space="preserve"> </w:t>
      </w:r>
      <w:r>
        <w:t>фирмы,</w:t>
      </w:r>
      <w:r>
        <w:rPr>
          <w:spacing w:val="11"/>
        </w:rPr>
        <w:t xml:space="preserve"> </w:t>
      </w:r>
      <w:r>
        <w:t>имеющей</w:t>
      </w:r>
      <w:r>
        <w:rPr>
          <w:spacing w:val="9"/>
        </w:rPr>
        <w:t xml:space="preserve"> </w:t>
      </w:r>
      <w:r>
        <w:t>годо</w:t>
      </w:r>
      <w:r>
        <w:t>вой</w:t>
      </w:r>
      <w:r>
        <w:rPr>
          <w:spacing w:val="-2"/>
        </w:rPr>
        <w:t xml:space="preserve"> </w:t>
      </w:r>
      <w:r>
        <w:t>доход</w:t>
      </w:r>
      <w:r>
        <w:rPr>
          <w:spacing w:val="-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тыс.</w:t>
      </w:r>
      <w:r>
        <w:rPr>
          <w:spacing w:val="3"/>
        </w:rPr>
        <w:t xml:space="preserve"> </w:t>
      </w:r>
      <w:r>
        <w:t>руб.</w:t>
      </w:r>
    </w:p>
    <w:p w:rsidR="00CE115C" w:rsidRDefault="00CE115C" w:rsidP="00CE115C">
      <w:pPr>
        <w:pStyle w:val="a3"/>
        <w:spacing w:before="62" w:line="249" w:lineRule="auto"/>
        <w:ind w:firstLine="424"/>
      </w:pPr>
      <w:r>
        <w:rPr>
          <w:i/>
        </w:rPr>
        <w:t>Решение:</w:t>
      </w:r>
      <w:r>
        <w:rPr>
          <w:i/>
          <w:spacing w:val="23"/>
        </w:rPr>
        <w:t xml:space="preserve"> </w:t>
      </w:r>
      <w:r>
        <w:t>воспользовавшись</w:t>
      </w:r>
      <w:r>
        <w:rPr>
          <w:spacing w:val="23"/>
        </w:rPr>
        <w:t xml:space="preserve"> </w:t>
      </w:r>
      <w:r>
        <w:t>методом</w:t>
      </w:r>
      <w:r>
        <w:rPr>
          <w:spacing w:val="24"/>
        </w:rPr>
        <w:t xml:space="preserve"> </w:t>
      </w:r>
      <w:r>
        <w:t>отраслевых</w:t>
      </w:r>
      <w:r>
        <w:rPr>
          <w:spacing w:val="23"/>
        </w:rPr>
        <w:t xml:space="preserve"> </w:t>
      </w:r>
      <w:r>
        <w:t>коэффициентов,</w:t>
      </w:r>
      <w:r>
        <w:rPr>
          <w:spacing w:val="-47"/>
        </w:rPr>
        <w:t xml:space="preserve"> </w:t>
      </w:r>
      <w:r>
        <w:t>рассчитаем приблизительную стоимость</w:t>
      </w:r>
      <w:r>
        <w:rPr>
          <w:spacing w:val="-1"/>
        </w:rPr>
        <w:t xml:space="preserve"> </w:t>
      </w:r>
      <w:r>
        <w:t>фирмы:</w:t>
      </w:r>
    </w:p>
    <w:p w:rsidR="00CE115C" w:rsidRDefault="00CE115C" w:rsidP="00CE115C">
      <w:pPr>
        <w:pStyle w:val="a3"/>
        <w:spacing w:before="1"/>
        <w:ind w:left="538"/>
      </w:pPr>
      <w:r>
        <w:rPr>
          <w:i/>
        </w:rPr>
        <w:t xml:space="preserve">V </w:t>
      </w:r>
      <w:r>
        <w:t>= 500</w:t>
      </w:r>
      <w:r>
        <w:rPr>
          <w:spacing w:val="19"/>
        </w:rPr>
        <w:t xml:space="preserve"> </w:t>
      </w:r>
      <w:r>
        <w:rPr>
          <w:noProof/>
          <w:spacing w:val="19"/>
          <w:position w:val="-3"/>
          <w:lang w:eastAsia="ru-RU"/>
        </w:rPr>
        <w:drawing>
          <wp:inline distT="0" distB="0" distL="0" distR="0" wp14:anchorId="6098A0AC" wp14:editId="5A58C438">
            <wp:extent cx="100574" cy="127000"/>
            <wp:effectExtent l="0" t="0" r="0" b="0"/>
            <wp:docPr id="87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85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574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</w:rPr>
        <w:t xml:space="preserve"> </w:t>
      </w:r>
      <w:r>
        <w:t>0,5</w:t>
      </w:r>
      <w:r>
        <w:rPr>
          <w:spacing w:val="1"/>
        </w:rPr>
        <w:t xml:space="preserve"> </w:t>
      </w:r>
      <w:r>
        <w:t>= 250.</w:t>
      </w:r>
    </w:p>
    <w:p w:rsidR="00CE115C" w:rsidRDefault="00CE115C" w:rsidP="00CE115C">
      <w:pPr>
        <w:pStyle w:val="a3"/>
        <w:spacing w:before="59"/>
        <w:ind w:left="533"/>
      </w:pPr>
      <w:r>
        <w:rPr>
          <w:i/>
          <w:spacing w:val="-1"/>
        </w:rPr>
        <w:t>Ответ:</w:t>
      </w:r>
      <w:r>
        <w:rPr>
          <w:i/>
          <w:spacing w:val="-11"/>
        </w:rPr>
        <w:t xml:space="preserve"> </w:t>
      </w:r>
      <w:r>
        <w:rPr>
          <w:spacing w:val="-1"/>
        </w:rPr>
        <w:t>аудиторская</w:t>
      </w:r>
      <w:r>
        <w:rPr>
          <w:spacing w:val="-11"/>
        </w:rPr>
        <w:t xml:space="preserve"> </w:t>
      </w:r>
      <w:r>
        <w:rPr>
          <w:spacing w:val="-1"/>
        </w:rPr>
        <w:t>фирма</w:t>
      </w:r>
      <w:r>
        <w:rPr>
          <w:spacing w:val="-9"/>
        </w:rPr>
        <w:t xml:space="preserve"> </w:t>
      </w:r>
      <w:r>
        <w:rPr>
          <w:spacing w:val="-1"/>
        </w:rPr>
        <w:t>может</w:t>
      </w:r>
      <w:r>
        <w:rPr>
          <w:spacing w:val="-10"/>
        </w:rPr>
        <w:t xml:space="preserve"> </w:t>
      </w:r>
      <w:r>
        <w:rPr>
          <w:spacing w:val="-1"/>
        </w:rPr>
        <w:t>быть</w:t>
      </w:r>
      <w:r>
        <w:rPr>
          <w:spacing w:val="-10"/>
        </w:rPr>
        <w:t xml:space="preserve"> </w:t>
      </w:r>
      <w:r>
        <w:rPr>
          <w:spacing w:val="-1"/>
        </w:rPr>
        <w:t>продана</w:t>
      </w:r>
      <w:r>
        <w:rPr>
          <w:spacing w:val="-11"/>
        </w:rPr>
        <w:t xml:space="preserve"> </w:t>
      </w:r>
      <w:r>
        <w:rPr>
          <w:spacing w:val="-1"/>
        </w:rPr>
        <w:t>за</w:t>
      </w:r>
      <w:r>
        <w:rPr>
          <w:spacing w:val="-10"/>
        </w:rPr>
        <w:t xml:space="preserve"> </w:t>
      </w:r>
      <w:r>
        <w:rPr>
          <w:spacing w:val="-1"/>
        </w:rPr>
        <w:t>250</w:t>
      </w:r>
      <w:r>
        <w:rPr>
          <w:spacing w:val="-11"/>
        </w:rPr>
        <w:t xml:space="preserve"> </w:t>
      </w:r>
      <w:r>
        <w:t>тыс.</w:t>
      </w:r>
      <w:r>
        <w:rPr>
          <w:spacing w:val="-10"/>
        </w:rPr>
        <w:t xml:space="preserve"> </w:t>
      </w:r>
      <w:r>
        <w:t>рублей.</w:t>
      </w:r>
    </w:p>
    <w:p w:rsidR="00CE115C" w:rsidRDefault="00CE115C" w:rsidP="00CE115C">
      <w:pPr>
        <w:pStyle w:val="a3"/>
        <w:ind w:left="0"/>
        <w:rPr>
          <w:sz w:val="21"/>
        </w:rPr>
      </w:pPr>
    </w:p>
    <w:p w:rsidR="00CE115C" w:rsidRDefault="00CE115C" w:rsidP="00CE115C">
      <w:pPr>
        <w:pStyle w:val="3"/>
        <w:tabs>
          <w:tab w:val="left" w:pos="2200"/>
        </w:tabs>
        <w:ind w:left="2199"/>
        <w:rPr>
          <w:rFonts w:ascii="Arial" w:hAnsi="Arial"/>
        </w:rPr>
      </w:pPr>
      <w:bookmarkStart w:id="1" w:name="_TOC_250009"/>
      <w:r>
        <w:rPr>
          <w:rFonts w:ascii="Arial" w:hAnsi="Arial"/>
        </w:rPr>
        <w:t>Метод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рынка</w:t>
      </w:r>
      <w:r>
        <w:rPr>
          <w:rFonts w:ascii="Arial" w:hAnsi="Arial"/>
          <w:spacing w:val="-3"/>
        </w:rPr>
        <w:t xml:space="preserve"> </w:t>
      </w:r>
      <w:bookmarkEnd w:id="1"/>
      <w:r>
        <w:rPr>
          <w:rFonts w:ascii="Arial" w:hAnsi="Arial"/>
        </w:rPr>
        <w:t>капитала</w:t>
      </w:r>
    </w:p>
    <w:p w:rsidR="00CE115C" w:rsidRDefault="00CE115C" w:rsidP="00CE115C">
      <w:pPr>
        <w:pStyle w:val="a3"/>
        <w:spacing w:before="11"/>
        <w:ind w:left="0"/>
        <w:rPr>
          <w:rFonts w:ascii="Arial"/>
          <w:b/>
          <w:sz w:val="21"/>
        </w:rPr>
      </w:pPr>
    </w:p>
    <w:p w:rsidR="00CE115C" w:rsidRDefault="00CE115C" w:rsidP="00CE115C">
      <w:pPr>
        <w:pStyle w:val="a3"/>
        <w:ind w:right="549" w:firstLine="424"/>
        <w:jc w:val="both"/>
      </w:pPr>
      <w:r>
        <w:t>Метод рывка капитала основан на использовании рыночных цен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сходных</w:t>
      </w:r>
      <w:r>
        <w:rPr>
          <w:spacing w:val="1"/>
        </w:rPr>
        <w:t xml:space="preserve"> </w:t>
      </w:r>
      <w:r>
        <w:t>компаний.</w:t>
      </w:r>
      <w:r>
        <w:rPr>
          <w:spacing w:val="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стоимости предприятий, акции которых не участвуют в операциях на</w:t>
      </w:r>
      <w:r>
        <w:rPr>
          <w:spacing w:val="1"/>
        </w:rPr>
        <w:t xml:space="preserve"> </w:t>
      </w:r>
      <w:r>
        <w:t>фондовом рынке. На первых этапах применения метода оценщик должен проанали-</w:t>
      </w:r>
      <w:r>
        <w:rPr>
          <w:spacing w:val="1"/>
        </w:rPr>
        <w:t xml:space="preserve"> </w:t>
      </w:r>
      <w:r>
        <w:t>зировать и нормализовать финансовую отчетность оцениваемой фирмы.</w:t>
      </w:r>
      <w:r>
        <w:rPr>
          <w:spacing w:val="-47"/>
        </w:rPr>
        <w:t xml:space="preserve"> </w:t>
      </w:r>
      <w:r>
        <w:t>Цель этих мероприятий – уменьшить влияние всех случайных факторов</w:t>
      </w:r>
      <w:r>
        <w:rPr>
          <w:spacing w:val="1"/>
        </w:rPr>
        <w:t xml:space="preserve"> </w:t>
      </w:r>
      <w:r>
        <w:t xml:space="preserve">при анализе бизнеса для более корректного </w:t>
      </w:r>
      <w:r>
        <w:lastRenderedPageBreak/>
        <w:t>сопоставления с компа</w:t>
      </w:r>
      <w:r w:rsidR="00B52EF2">
        <w:t>ния</w:t>
      </w:r>
      <w:bookmarkStart w:id="2" w:name="_GoBack"/>
      <w:bookmarkEnd w:id="2"/>
      <w:r>
        <w:t>ми-аналогами.</w:t>
      </w:r>
    </w:p>
    <w:p w:rsidR="00CE115C" w:rsidRDefault="00CE115C" w:rsidP="00CE115C">
      <w:pPr>
        <w:pStyle w:val="a3"/>
        <w:ind w:right="549" w:firstLine="424"/>
        <w:jc w:val="both"/>
      </w:pPr>
      <w:r>
        <w:t xml:space="preserve">Поиск и подбор сопоставимых </w:t>
      </w:r>
      <w:r>
        <w:t>компаний, как уже отмечалось ра</w:t>
      </w:r>
      <w:r>
        <w:t>нее, ключевой момент при использов</w:t>
      </w:r>
      <w:r>
        <w:t>ании данного подхода. Выбор дей</w:t>
      </w:r>
      <w:r>
        <w:t xml:space="preserve">ствительно сопоставимых компаний </w:t>
      </w:r>
      <w:r>
        <w:t>является одним из наиболее слож</w:t>
      </w:r>
      <w:r>
        <w:t>ных этапов в применении этого метода. Это осложняется еще и тем, что</w:t>
      </w:r>
      <w:r>
        <w:rPr>
          <w:spacing w:val="1"/>
        </w:rPr>
        <w:t xml:space="preserve"> </w:t>
      </w:r>
      <w:r>
        <w:t>не всегда оценщик может получить</w:t>
      </w:r>
      <w:r>
        <w:t xml:space="preserve"> достоверную информацию о финан</w:t>
      </w:r>
      <w:r>
        <w:t>совых</w:t>
      </w:r>
      <w:r>
        <w:rPr>
          <w:spacing w:val="-2"/>
        </w:rPr>
        <w:t xml:space="preserve"> </w:t>
      </w:r>
      <w:r>
        <w:t>показателях</w:t>
      </w:r>
      <w:r>
        <w:rPr>
          <w:spacing w:val="-2"/>
        </w:rPr>
        <w:t xml:space="preserve"> </w:t>
      </w:r>
      <w:r>
        <w:t>компаний-аналогов.</w:t>
      </w:r>
    </w:p>
    <w:p w:rsidR="00CE115C" w:rsidRDefault="00CE115C" w:rsidP="00CE115C">
      <w:pPr>
        <w:pStyle w:val="a3"/>
        <w:spacing w:before="4"/>
        <w:ind w:left="0"/>
        <w:rPr>
          <w:sz w:val="21"/>
        </w:rPr>
      </w:pPr>
    </w:p>
    <w:p w:rsidR="00CE115C" w:rsidRDefault="00CE115C" w:rsidP="00CE115C">
      <w:pPr>
        <w:pStyle w:val="a3"/>
        <w:spacing w:line="249" w:lineRule="auto"/>
        <w:ind w:right="553" w:firstLine="424"/>
        <w:jc w:val="both"/>
        <w:sectPr w:rsidR="00CE115C">
          <w:pgSz w:w="9180" w:h="12980"/>
          <w:pgMar w:top="640" w:right="1260" w:bottom="2200" w:left="1020" w:header="0" w:footer="1939" w:gutter="0"/>
          <w:cols w:space="720"/>
        </w:sectPr>
      </w:pPr>
    </w:p>
    <w:p w:rsidR="006F42FC" w:rsidRDefault="006F42FC"/>
    <w:sectPr w:rsidR="006F42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4F19"/>
    <w:multiLevelType w:val="hybridMultilevel"/>
    <w:tmpl w:val="7F267322"/>
    <w:lvl w:ilvl="0" w:tplc="44B060CE">
      <w:numFmt w:val="bullet"/>
      <w:lvlText w:val="-"/>
      <w:lvlJc w:val="left"/>
      <w:pPr>
        <w:ind w:left="509" w:hanging="240"/>
      </w:pPr>
      <w:rPr>
        <w:rFonts w:ascii="Courier New" w:eastAsia="Courier New" w:hAnsi="Courier New" w:cs="Courier New" w:hint="default"/>
        <w:w w:val="99"/>
        <w:sz w:val="20"/>
        <w:szCs w:val="20"/>
        <w:lang w:val="ru-RU" w:eastAsia="en-US" w:bidi="ar-SA"/>
      </w:rPr>
    </w:lvl>
    <w:lvl w:ilvl="1" w:tplc="23946898">
      <w:numFmt w:val="bullet"/>
      <w:lvlText w:val="•"/>
      <w:lvlJc w:val="left"/>
      <w:pPr>
        <w:ind w:left="860" w:hanging="240"/>
      </w:pPr>
      <w:rPr>
        <w:rFonts w:hint="default"/>
        <w:lang w:val="ru-RU" w:eastAsia="en-US" w:bidi="ar-SA"/>
      </w:rPr>
    </w:lvl>
    <w:lvl w:ilvl="2" w:tplc="28D82BA8">
      <w:numFmt w:val="bullet"/>
      <w:lvlText w:val="•"/>
      <w:lvlJc w:val="left"/>
      <w:pPr>
        <w:ind w:left="3060" w:hanging="240"/>
      </w:pPr>
      <w:rPr>
        <w:rFonts w:hint="default"/>
        <w:lang w:val="ru-RU" w:eastAsia="en-US" w:bidi="ar-SA"/>
      </w:rPr>
    </w:lvl>
    <w:lvl w:ilvl="3" w:tplc="11068CDA">
      <w:numFmt w:val="bullet"/>
      <w:lvlText w:val="•"/>
      <w:lvlJc w:val="left"/>
      <w:pPr>
        <w:ind w:left="3540" w:hanging="240"/>
      </w:pPr>
      <w:rPr>
        <w:rFonts w:hint="default"/>
        <w:lang w:val="ru-RU" w:eastAsia="en-US" w:bidi="ar-SA"/>
      </w:rPr>
    </w:lvl>
    <w:lvl w:ilvl="4" w:tplc="2E20C664">
      <w:numFmt w:val="bullet"/>
      <w:lvlText w:val="•"/>
      <w:lvlJc w:val="left"/>
      <w:pPr>
        <w:ind w:left="4020" w:hanging="240"/>
      </w:pPr>
      <w:rPr>
        <w:rFonts w:hint="default"/>
        <w:lang w:val="ru-RU" w:eastAsia="en-US" w:bidi="ar-SA"/>
      </w:rPr>
    </w:lvl>
    <w:lvl w:ilvl="5" w:tplc="86BC3FD4">
      <w:numFmt w:val="bullet"/>
      <w:lvlText w:val="•"/>
      <w:lvlJc w:val="left"/>
      <w:pPr>
        <w:ind w:left="4500" w:hanging="240"/>
      </w:pPr>
      <w:rPr>
        <w:rFonts w:hint="default"/>
        <w:lang w:val="ru-RU" w:eastAsia="en-US" w:bidi="ar-SA"/>
      </w:rPr>
    </w:lvl>
    <w:lvl w:ilvl="6" w:tplc="F23A3C06">
      <w:numFmt w:val="bullet"/>
      <w:lvlText w:val="•"/>
      <w:lvlJc w:val="left"/>
      <w:pPr>
        <w:ind w:left="4980" w:hanging="240"/>
      </w:pPr>
      <w:rPr>
        <w:rFonts w:hint="default"/>
        <w:lang w:val="ru-RU" w:eastAsia="en-US" w:bidi="ar-SA"/>
      </w:rPr>
    </w:lvl>
    <w:lvl w:ilvl="7" w:tplc="2B32604C">
      <w:numFmt w:val="bullet"/>
      <w:lvlText w:val="•"/>
      <w:lvlJc w:val="left"/>
      <w:pPr>
        <w:ind w:left="5460" w:hanging="240"/>
      </w:pPr>
      <w:rPr>
        <w:rFonts w:hint="default"/>
        <w:lang w:val="ru-RU" w:eastAsia="en-US" w:bidi="ar-SA"/>
      </w:rPr>
    </w:lvl>
    <w:lvl w:ilvl="8" w:tplc="D372531A">
      <w:numFmt w:val="bullet"/>
      <w:lvlText w:val="•"/>
      <w:lvlJc w:val="left"/>
      <w:pPr>
        <w:ind w:left="5940" w:hanging="240"/>
      </w:pPr>
      <w:rPr>
        <w:rFonts w:hint="default"/>
        <w:lang w:val="ru-RU" w:eastAsia="en-US" w:bidi="ar-SA"/>
      </w:rPr>
    </w:lvl>
  </w:abstractNum>
  <w:abstractNum w:abstractNumId="1">
    <w:nsid w:val="4C1E5286"/>
    <w:multiLevelType w:val="multilevel"/>
    <w:tmpl w:val="B644C884"/>
    <w:lvl w:ilvl="0">
      <w:start w:val="4"/>
      <w:numFmt w:val="decimal"/>
      <w:lvlText w:val="%1"/>
      <w:lvlJc w:val="left"/>
      <w:pPr>
        <w:ind w:left="2122" w:hanging="43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2" w:hanging="430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076" w:hanging="43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3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2" w:hanging="43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10" w:hanging="43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8" w:hanging="43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66" w:hanging="43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944" w:hanging="43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16D"/>
    <w:rsid w:val="006F42FC"/>
    <w:rsid w:val="00B52EF2"/>
    <w:rsid w:val="00C0416D"/>
    <w:rsid w:val="00CE1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8F5BEB-4C14-4A28-A95F-E4B460EAB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11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1"/>
    <w:qFormat/>
    <w:rsid w:val="00CE115C"/>
    <w:pPr>
      <w:outlineLvl w:val="2"/>
    </w:pPr>
    <w:rPr>
      <w:b/>
      <w:bCs/>
    </w:rPr>
  </w:style>
  <w:style w:type="paragraph" w:styleId="4">
    <w:name w:val="heading 4"/>
    <w:basedOn w:val="a"/>
    <w:link w:val="40"/>
    <w:uiPriority w:val="1"/>
    <w:qFormat/>
    <w:rsid w:val="00CE115C"/>
    <w:pPr>
      <w:spacing w:before="122"/>
      <w:jc w:val="center"/>
      <w:outlineLvl w:val="3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CE115C"/>
    <w:rPr>
      <w:rFonts w:ascii="Times New Roman" w:eastAsia="Times New Roman" w:hAnsi="Times New Roman" w:cs="Times New Roman"/>
      <w:b/>
      <w:bCs/>
    </w:rPr>
  </w:style>
  <w:style w:type="character" w:customStyle="1" w:styleId="40">
    <w:name w:val="Заголовок 4 Знак"/>
    <w:basedOn w:val="a0"/>
    <w:link w:val="4"/>
    <w:uiPriority w:val="1"/>
    <w:rsid w:val="00CE115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CE115C"/>
    <w:pPr>
      <w:ind w:left="113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CE115C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CE115C"/>
    <w:pPr>
      <w:ind w:left="137" w:firstLine="4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2024-11-11T05:01:00Z</dcterms:created>
  <dcterms:modified xsi:type="dcterms:W3CDTF">2024-11-11T05:03:00Z</dcterms:modified>
</cp:coreProperties>
</file>